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08" w:type="dxa"/>
        <w:tblCellMar>
          <w:left w:w="0" w:type="dxa"/>
          <w:right w:w="0" w:type="dxa"/>
        </w:tblCellMar>
        <w:tblLook w:val="04A0"/>
      </w:tblPr>
      <w:tblGrid>
        <w:gridCol w:w="9104"/>
      </w:tblGrid>
      <w:tr w:rsidR="001B24E0" w:rsidRPr="001B24E0" w:rsidTr="001B24E0">
        <w:trPr>
          <w:jc w:val="center"/>
        </w:trPr>
        <w:tc>
          <w:tcPr>
            <w:tcW w:w="9104" w:type="dxa"/>
            <w:tcMar>
              <w:top w:w="0" w:type="dxa"/>
              <w:left w:w="108" w:type="dxa"/>
              <w:bottom w:w="0" w:type="dxa"/>
              <w:right w:w="108" w:type="dxa"/>
            </w:tcMar>
            <w:hideMark/>
          </w:tcPr>
          <w:tbl>
            <w:tblPr>
              <w:tblW w:w="8808" w:type="dxa"/>
              <w:jc w:val="center"/>
              <w:tblCellMar>
                <w:left w:w="0" w:type="dxa"/>
                <w:right w:w="0" w:type="dxa"/>
              </w:tblCellMar>
              <w:tblLook w:val="04A0"/>
            </w:tblPr>
            <w:tblGrid>
              <w:gridCol w:w="2937"/>
              <w:gridCol w:w="2937"/>
              <w:gridCol w:w="2934"/>
            </w:tblGrid>
            <w:tr w:rsidR="001B24E0" w:rsidRPr="001B24E0" w:rsidTr="001B24E0">
              <w:trPr>
                <w:trHeight w:val="338"/>
                <w:jc w:val="center"/>
              </w:trPr>
              <w:tc>
                <w:tcPr>
                  <w:tcW w:w="2937" w:type="dxa"/>
                  <w:tcBorders>
                    <w:top w:val="nil"/>
                    <w:left w:val="nil"/>
                    <w:bottom w:val="single" w:sz="8" w:space="0" w:color="660066"/>
                    <w:right w:val="nil"/>
                  </w:tcBorders>
                  <w:tcMar>
                    <w:top w:w="0" w:type="dxa"/>
                    <w:left w:w="108" w:type="dxa"/>
                    <w:bottom w:w="0" w:type="dxa"/>
                    <w:right w:w="108" w:type="dxa"/>
                  </w:tcMar>
                  <w:vAlign w:val="center"/>
                  <w:hideMark/>
                </w:tcPr>
                <w:p w:rsidR="001B24E0" w:rsidRPr="001B24E0" w:rsidRDefault="001B24E0" w:rsidP="001B24E0">
                  <w:pPr>
                    <w:spacing w:after="0" w:line="240" w:lineRule="atLeast"/>
                    <w:rPr>
                      <w:rFonts w:ascii="Times New Roman" w:eastAsia="Times New Roman" w:hAnsi="Times New Roman" w:cs="Times New Roman"/>
                      <w:sz w:val="24"/>
                      <w:szCs w:val="24"/>
                      <w:lang w:eastAsia="tr-TR"/>
                    </w:rPr>
                  </w:pPr>
                  <w:r w:rsidRPr="001B24E0">
                    <w:rPr>
                      <w:rFonts w:ascii="Arial" w:eastAsia="Times New Roman" w:hAnsi="Arial" w:cs="Arial"/>
                      <w:sz w:val="16"/>
                      <w:szCs w:val="16"/>
                      <w:lang w:eastAsia="tr-TR"/>
                    </w:rPr>
                    <w:t>9 Ekim 2019 ÇARŞAMBA</w:t>
                  </w:r>
                </w:p>
              </w:tc>
              <w:tc>
                <w:tcPr>
                  <w:tcW w:w="2937" w:type="dxa"/>
                  <w:tcBorders>
                    <w:top w:val="nil"/>
                    <w:left w:val="nil"/>
                    <w:bottom w:val="single" w:sz="8" w:space="0" w:color="660066"/>
                    <w:right w:val="nil"/>
                  </w:tcBorders>
                  <w:tcMar>
                    <w:top w:w="0" w:type="dxa"/>
                    <w:left w:w="108" w:type="dxa"/>
                    <w:bottom w:w="0" w:type="dxa"/>
                    <w:right w:w="108" w:type="dxa"/>
                  </w:tcMar>
                  <w:vAlign w:val="center"/>
                  <w:hideMark/>
                </w:tcPr>
                <w:p w:rsidR="001B24E0" w:rsidRPr="001B24E0" w:rsidRDefault="001B24E0" w:rsidP="001B24E0">
                  <w:pPr>
                    <w:spacing w:after="0" w:line="240" w:lineRule="atLeast"/>
                    <w:jc w:val="center"/>
                    <w:rPr>
                      <w:rFonts w:ascii="Times New Roman" w:eastAsia="Times New Roman" w:hAnsi="Times New Roman" w:cs="Times New Roman"/>
                      <w:sz w:val="24"/>
                      <w:szCs w:val="24"/>
                      <w:lang w:eastAsia="tr-TR"/>
                    </w:rPr>
                  </w:pPr>
                  <w:r w:rsidRPr="001B24E0">
                    <w:rPr>
                      <w:rFonts w:ascii="Palatino Linotype" w:eastAsia="Times New Roman" w:hAnsi="Palatino Linotype" w:cs="Times New Roman"/>
                      <w:b/>
                      <w:bCs/>
                      <w:color w:val="800000"/>
                      <w:sz w:val="24"/>
                      <w:szCs w:val="24"/>
                      <w:lang w:eastAsia="tr-TR"/>
                    </w:rPr>
                    <w:t>Resmî Gazete</w:t>
                  </w:r>
                </w:p>
              </w:tc>
              <w:tc>
                <w:tcPr>
                  <w:tcW w:w="2933" w:type="dxa"/>
                  <w:tcBorders>
                    <w:top w:val="nil"/>
                    <w:left w:val="nil"/>
                    <w:bottom w:val="single" w:sz="8" w:space="0" w:color="660066"/>
                    <w:right w:val="nil"/>
                  </w:tcBorders>
                  <w:tcMar>
                    <w:top w:w="0" w:type="dxa"/>
                    <w:left w:w="108" w:type="dxa"/>
                    <w:bottom w:w="0" w:type="dxa"/>
                    <w:right w:w="108" w:type="dxa"/>
                  </w:tcMar>
                  <w:vAlign w:val="center"/>
                  <w:hideMark/>
                </w:tcPr>
                <w:p w:rsidR="001B24E0" w:rsidRPr="001B24E0" w:rsidRDefault="001B24E0" w:rsidP="001B24E0">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1B24E0">
                    <w:rPr>
                      <w:rFonts w:ascii="Arial" w:eastAsia="Times New Roman" w:hAnsi="Arial" w:cs="Arial"/>
                      <w:sz w:val="16"/>
                      <w:szCs w:val="16"/>
                      <w:lang w:eastAsia="tr-TR"/>
                    </w:rPr>
                    <w:t>Sayı : 30913</w:t>
                  </w:r>
                  <w:proofErr w:type="gramEnd"/>
                </w:p>
              </w:tc>
            </w:tr>
            <w:tr w:rsidR="001B24E0" w:rsidRPr="001B24E0" w:rsidTr="001B24E0">
              <w:trPr>
                <w:trHeight w:val="511"/>
                <w:jc w:val="center"/>
              </w:trPr>
              <w:tc>
                <w:tcPr>
                  <w:tcW w:w="8808" w:type="dxa"/>
                  <w:gridSpan w:val="3"/>
                  <w:tcMar>
                    <w:top w:w="0" w:type="dxa"/>
                    <w:left w:w="108" w:type="dxa"/>
                    <w:bottom w:w="0" w:type="dxa"/>
                    <w:right w:w="108" w:type="dxa"/>
                  </w:tcMar>
                  <w:vAlign w:val="center"/>
                  <w:hideMark/>
                </w:tcPr>
                <w:p w:rsidR="001B24E0" w:rsidRPr="001B24E0" w:rsidRDefault="001B24E0" w:rsidP="001B24E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1B24E0">
                    <w:rPr>
                      <w:rFonts w:ascii="Arial" w:eastAsia="Times New Roman" w:hAnsi="Arial" w:cs="Arial"/>
                      <w:b/>
                      <w:bCs/>
                      <w:color w:val="000080"/>
                      <w:sz w:val="18"/>
                      <w:szCs w:val="18"/>
                      <w:lang w:eastAsia="tr-TR"/>
                    </w:rPr>
                    <w:t>TEBLİĞ</w:t>
                  </w:r>
                </w:p>
              </w:tc>
            </w:tr>
            <w:tr w:rsidR="001B24E0" w:rsidRPr="001B24E0" w:rsidTr="001B24E0">
              <w:trPr>
                <w:trHeight w:val="511"/>
                <w:jc w:val="center"/>
              </w:trPr>
              <w:tc>
                <w:tcPr>
                  <w:tcW w:w="8808" w:type="dxa"/>
                  <w:gridSpan w:val="3"/>
                  <w:tcMar>
                    <w:top w:w="0" w:type="dxa"/>
                    <w:left w:w="108" w:type="dxa"/>
                    <w:bottom w:w="0" w:type="dxa"/>
                    <w:right w:w="108" w:type="dxa"/>
                  </w:tcMar>
                  <w:vAlign w:val="center"/>
                  <w:hideMark/>
                </w:tcPr>
                <w:p w:rsidR="001B24E0" w:rsidRPr="001B24E0" w:rsidRDefault="001B24E0" w:rsidP="001B24E0">
                  <w:pPr>
                    <w:spacing w:after="0" w:line="240" w:lineRule="atLeast"/>
                    <w:ind w:firstLine="566"/>
                    <w:jc w:val="both"/>
                    <w:rPr>
                      <w:rFonts w:ascii="Times New Roman" w:eastAsia="Times New Roman" w:hAnsi="Times New Roman" w:cs="Times New Roman"/>
                      <w:u w:val="single"/>
                      <w:lang w:eastAsia="tr-TR"/>
                    </w:rPr>
                  </w:pPr>
                  <w:r w:rsidRPr="001B24E0">
                    <w:rPr>
                      <w:rFonts w:ascii="Times New Roman" w:eastAsia="Times New Roman" w:hAnsi="Times New Roman" w:cs="Times New Roman"/>
                      <w:sz w:val="18"/>
                      <w:szCs w:val="18"/>
                      <w:u w:val="single"/>
                      <w:lang w:eastAsia="tr-TR"/>
                    </w:rPr>
                    <w:t>Sosyal Güvenlik Kurumu Başkanlığından:</w:t>
                  </w:r>
                </w:p>
                <w:p w:rsidR="001B24E0" w:rsidRPr="001B24E0" w:rsidRDefault="001B24E0" w:rsidP="001B24E0">
                  <w:pPr>
                    <w:spacing w:after="0" w:line="240" w:lineRule="atLeast"/>
                    <w:jc w:val="center"/>
                    <w:rPr>
                      <w:rFonts w:ascii="Times New Roman" w:eastAsia="Times New Roman" w:hAnsi="Times New Roman" w:cs="Times New Roman"/>
                      <w:b/>
                      <w:bCs/>
                      <w:sz w:val="19"/>
                      <w:szCs w:val="19"/>
                      <w:lang w:eastAsia="tr-TR"/>
                    </w:rPr>
                  </w:pPr>
                  <w:r w:rsidRPr="001B24E0">
                    <w:rPr>
                      <w:rFonts w:ascii="Times New Roman" w:eastAsia="Times New Roman" w:hAnsi="Times New Roman" w:cs="Times New Roman"/>
                      <w:b/>
                      <w:bCs/>
                      <w:sz w:val="18"/>
                      <w:szCs w:val="18"/>
                      <w:lang w:eastAsia="tr-TR"/>
                    </w:rPr>
                    <w:t>SOSYAL GÜVENLİK KURUMU SAĞLIK UYGULAMA TEBLİĞİNDE</w:t>
                  </w:r>
                </w:p>
                <w:p w:rsidR="001B24E0" w:rsidRPr="001B24E0" w:rsidRDefault="001B24E0" w:rsidP="001B24E0">
                  <w:pPr>
                    <w:spacing w:after="0" w:line="240" w:lineRule="atLeast"/>
                    <w:jc w:val="center"/>
                    <w:rPr>
                      <w:rFonts w:ascii="Times New Roman" w:eastAsia="Times New Roman" w:hAnsi="Times New Roman" w:cs="Times New Roman"/>
                      <w:b/>
                      <w:bCs/>
                      <w:sz w:val="19"/>
                      <w:szCs w:val="19"/>
                      <w:lang w:eastAsia="tr-TR"/>
                    </w:rPr>
                  </w:pPr>
                  <w:r w:rsidRPr="001B24E0">
                    <w:rPr>
                      <w:rFonts w:ascii="Times New Roman" w:eastAsia="Times New Roman" w:hAnsi="Times New Roman" w:cs="Times New Roman"/>
                      <w:b/>
                      <w:bCs/>
                      <w:sz w:val="18"/>
                      <w:szCs w:val="18"/>
                      <w:lang w:eastAsia="tr-TR"/>
                    </w:rPr>
                    <w:t>DEĞİŞİKLİK YAPILMASINA DAİR TEBLİĞ</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b/>
                      <w:bCs/>
                      <w:sz w:val="18"/>
                      <w:szCs w:val="18"/>
                      <w:lang w:eastAsia="tr-TR"/>
                    </w:rPr>
                    <w:t>MADDE 1 –</w:t>
                  </w:r>
                  <w:r w:rsidRPr="001B24E0">
                    <w:rPr>
                      <w:rFonts w:ascii="Times New Roman" w:eastAsia="Times New Roman" w:hAnsi="Times New Roman" w:cs="Times New Roman"/>
                      <w:sz w:val="18"/>
                      <w:szCs w:val="18"/>
                      <w:lang w:eastAsia="tr-TR"/>
                    </w:rPr>
                    <w:t> </w:t>
                  </w:r>
                  <w:proofErr w:type="gramStart"/>
                  <w:r w:rsidRPr="001B24E0">
                    <w:rPr>
                      <w:rFonts w:ascii="Times New Roman" w:eastAsia="Times New Roman" w:hAnsi="Times New Roman" w:cs="Times New Roman"/>
                      <w:sz w:val="18"/>
                      <w:lang w:eastAsia="tr-TR"/>
                    </w:rPr>
                    <w:t>24/3/2013</w:t>
                  </w:r>
                  <w:proofErr w:type="gramEnd"/>
                  <w:r w:rsidRPr="001B24E0">
                    <w:rPr>
                      <w:rFonts w:ascii="Times New Roman" w:eastAsia="Times New Roman" w:hAnsi="Times New Roman" w:cs="Times New Roman"/>
                      <w:sz w:val="18"/>
                      <w:szCs w:val="18"/>
                      <w:lang w:eastAsia="tr-TR"/>
                    </w:rPr>
                    <w:t> tarihli ve 28597 sayılı Resmî Gazete’de yayımlanan Sosyal Güvenlik Kurumu Sağlık Uygulama Tebliğinin 2.4.4.I numaralı maddesinde aşağıdaki düzenlemeler yapılmıştır.</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a) Dördüncü fıkrası aşağıdaki şekilde değiştirilmiştir.</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“(4) Özel sağlık hizmeti sunucusunda göz hastalıkları </w:t>
                  </w:r>
                  <w:proofErr w:type="gramStart"/>
                  <w:r w:rsidRPr="001B24E0">
                    <w:rPr>
                      <w:rFonts w:ascii="Times New Roman" w:eastAsia="Times New Roman" w:hAnsi="Times New Roman" w:cs="Times New Roman"/>
                      <w:sz w:val="18"/>
                      <w:lang w:eastAsia="tr-TR"/>
                    </w:rPr>
                    <w:t>branşında</w:t>
                  </w:r>
                  <w:proofErr w:type="gramEnd"/>
                  <w:r w:rsidRPr="001B24E0">
                    <w:rPr>
                      <w:rFonts w:ascii="Times New Roman" w:eastAsia="Times New Roman" w:hAnsi="Times New Roman" w:cs="Times New Roman"/>
                      <w:sz w:val="18"/>
                      <w:szCs w:val="18"/>
                      <w:lang w:eastAsia="tr-TR"/>
                    </w:rPr>
                    <w:t> kadrolu ve Kurumumuz ile sözleşme kapsamında çalışan her bir hekimin aylık muayene sayı sınırı (acil servis/polikliniğe başvurular hariç olmak üzere) 1050 olup göz hastalıkları branşına ayaktan başvurularda özel sağlık hizmeti sunucusunun aylık muayene kota sınırı ise, sağlık hizmeti sunucusunda kadrolu ve Kurumumuz ile yapılan sözleşme kapsamında çalışan hekim sayısının 1050 ile çarpılması sonucu bulunur. SUT eki EK-2/B Listesindeki 617340, 617341, 617342 kodlu işlemler ile EK-2/C Listesindeki P617340, P617341, P617342 kodlu işlemlerin yapılması halinde her bir işlem için sağlık hizmeti sunucusunun aylık muayene sınırından 7 (yedi) muayene düşülerek yeni aylık muayene sayısı hesaplanır. </w:t>
                  </w:r>
                  <w:proofErr w:type="gramStart"/>
                  <w:r w:rsidRPr="001B24E0">
                    <w:rPr>
                      <w:rFonts w:ascii="Times New Roman" w:eastAsia="Times New Roman" w:hAnsi="Times New Roman" w:cs="Times New Roman"/>
                      <w:sz w:val="18"/>
                      <w:lang w:eastAsia="tr-TR"/>
                    </w:rPr>
                    <w:t>SUT eki EK-2/B Listesindeki 602200, 616510, 616520, 616550, 616780, 616790, 616800, 616810 kodlu işlemler ile EK-2/C Listesindeki P602200, P616510, P616520, P616550, P616780, P616790, P616800, P616810 kodlu işlemlerin yapılması halinde ise her bir işlem için sağlık hizmeti sunucusunun aylık muayene sınırından 14 (on dört) muayene düşülerek yeni aylık muayene sayısı hesaplanır. SUT eki EK-2/B Listesindeki 602200, 616510, 616520, 616550, 616780, 616790, 616800, 616810 kodlu işlemler ile EK-2/C Listesindeki P602200, P616510, P616520, P616550, P616780, P616790, P616800, P616810 kodlu işlemlerden bir göz hastalıkları uzman hekimi günlük en fazla toplam 8 adet, bir sağlık hizmeti sunucusu ise en fazla toplam 16 adet Kuruma fatura edebilir.” </w:t>
                  </w:r>
                  <w:proofErr w:type="gramEnd"/>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b) Maddeye aşağıdaki fıkralar eklenmiştir.</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“(5) Hastanın, Kurumumuz ile sözleşmeli özel sağlık hizmeti sunucularında (acil servise başvuruları hariç olmak üzere) göz hastalıkları uzmanlık dalına ayaktan başvurduğu gün dâhil, 15 (on beş) gün içindeki aynı uzmanlık dalına diğer ayaktan başvurularında; sadece SUT eki EK-2/A-2 Listesinde yer alan işlemler faturalandırılır. SUT eki EK-2/A Listesinde yer alan tutarlar faturalandırılamaz.</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(6) Kurumumuz ile sözleşmeli özel sağlık hizmeti sunucusunda göz hastalıkları branşında bir fatura döneminde günübirlik ve yatarak tedavi kapsamında SUT eki EK-2/B ve EK-2/C Listelerinde “</w:t>
                  </w:r>
                  <w:proofErr w:type="gramStart"/>
                  <w:r w:rsidRPr="001B24E0">
                    <w:rPr>
                      <w:rFonts w:ascii="Times New Roman" w:eastAsia="Times New Roman" w:hAnsi="Times New Roman" w:cs="Times New Roman"/>
                      <w:sz w:val="18"/>
                      <w:lang w:eastAsia="tr-TR"/>
                    </w:rPr>
                    <w:t>6.9</w:t>
                  </w:r>
                  <w:proofErr w:type="gramEnd"/>
                  <w:r w:rsidRPr="001B24E0">
                    <w:rPr>
                      <w:rFonts w:ascii="Times New Roman" w:eastAsia="Times New Roman" w:hAnsi="Times New Roman" w:cs="Times New Roman"/>
                      <w:sz w:val="18"/>
                      <w:szCs w:val="18"/>
                      <w:lang w:eastAsia="tr-TR"/>
                    </w:rPr>
                    <w:t xml:space="preserve">.Göz ve </w:t>
                  </w:r>
                  <w:proofErr w:type="spellStart"/>
                  <w:r w:rsidRPr="001B24E0">
                    <w:rPr>
                      <w:rFonts w:ascii="Times New Roman" w:eastAsia="Times New Roman" w:hAnsi="Times New Roman" w:cs="Times New Roman"/>
                      <w:sz w:val="18"/>
                      <w:szCs w:val="18"/>
                      <w:lang w:eastAsia="tr-TR"/>
                    </w:rPr>
                    <w:t>Adneksleri</w:t>
                  </w:r>
                  <w:proofErr w:type="spellEnd"/>
                  <w:r w:rsidRPr="001B24E0">
                    <w:rPr>
                      <w:rFonts w:ascii="Times New Roman" w:eastAsia="Times New Roman" w:hAnsi="Times New Roman" w:cs="Times New Roman"/>
                      <w:sz w:val="18"/>
                      <w:szCs w:val="18"/>
                      <w:lang w:eastAsia="tr-TR"/>
                    </w:rPr>
                    <w:t xml:space="preserve">” başlığı altında Kuruma fatura edilen işlem sayı sınırı; göz hastalıkları branşında ayaktan başvuru sayısı ile günübirlik ve yatarak tedavi kapsamında SUT eki EK-2/B ve EK-2/C Listelerinde “6.9.Göz ve </w:t>
                  </w:r>
                  <w:proofErr w:type="spellStart"/>
                  <w:r w:rsidRPr="001B24E0">
                    <w:rPr>
                      <w:rFonts w:ascii="Times New Roman" w:eastAsia="Times New Roman" w:hAnsi="Times New Roman" w:cs="Times New Roman"/>
                      <w:sz w:val="18"/>
                      <w:szCs w:val="18"/>
                      <w:lang w:eastAsia="tr-TR"/>
                    </w:rPr>
                    <w:t>Adneksleri</w:t>
                  </w:r>
                  <w:proofErr w:type="spellEnd"/>
                  <w:r w:rsidRPr="001B24E0">
                    <w:rPr>
                      <w:rFonts w:ascii="Times New Roman" w:eastAsia="Times New Roman" w:hAnsi="Times New Roman" w:cs="Times New Roman"/>
                      <w:sz w:val="18"/>
                      <w:szCs w:val="18"/>
                      <w:lang w:eastAsia="tr-TR"/>
                    </w:rPr>
                    <w:t>” başlığı altında Kuruma fatura edilen işlemlerin sayıları toplamlarının %13’ünü geçemez.”</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b/>
                      <w:bCs/>
                      <w:sz w:val="18"/>
                      <w:szCs w:val="18"/>
                      <w:lang w:eastAsia="tr-TR"/>
                    </w:rPr>
                    <w:t>MADDE 2 –</w:t>
                  </w:r>
                  <w:r w:rsidRPr="001B24E0">
                    <w:rPr>
                      <w:rFonts w:ascii="Times New Roman" w:eastAsia="Times New Roman" w:hAnsi="Times New Roman" w:cs="Times New Roman"/>
                      <w:sz w:val="18"/>
                      <w:szCs w:val="18"/>
                      <w:lang w:eastAsia="tr-TR"/>
                    </w:rPr>
                    <w:t> Aynı Tebliğ eki Hizmet Başı İşlem Puan Listesi (EK-2/B)’</w:t>
                  </w:r>
                  <w:proofErr w:type="spellStart"/>
                  <w:r w:rsidRPr="001B24E0">
                    <w:rPr>
                      <w:rFonts w:ascii="Times New Roman" w:eastAsia="Times New Roman" w:hAnsi="Times New Roman" w:cs="Times New Roman"/>
                      <w:sz w:val="18"/>
                      <w:szCs w:val="18"/>
                      <w:lang w:eastAsia="tr-TR"/>
                    </w:rPr>
                    <w:t>nde</w:t>
                  </w:r>
                  <w:proofErr w:type="spellEnd"/>
                  <w:r w:rsidRPr="001B24E0">
                    <w:rPr>
                      <w:rFonts w:ascii="Times New Roman" w:eastAsia="Times New Roman" w:hAnsi="Times New Roman" w:cs="Times New Roman"/>
                      <w:sz w:val="18"/>
                      <w:szCs w:val="18"/>
                      <w:lang w:eastAsia="tr-TR"/>
                    </w:rPr>
                    <w:t xml:space="preserve"> yer alan “703650” SUT kodlu satır aşağıdaki şekilde değiştirilmiştir.</w:t>
                  </w:r>
                </w:p>
                <w:p w:rsidR="001B24E0" w:rsidRPr="001B24E0" w:rsidRDefault="001B24E0" w:rsidP="001B24E0">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drawing>
                      <wp:inline distT="0" distB="0" distL="0" distR="0">
                        <wp:extent cx="4429760" cy="451485"/>
                        <wp:effectExtent l="19050" t="0" r="8890" b="0"/>
                        <wp:docPr id="1" name="Resim 1" descr="https://www.resmigazete.gov.tr/eskiler/2019/10/20191009-11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19/10/20191009-11_dosyalar/image002.gif"/>
                                <pic:cNvPicPr>
                                  <a:picLocks noChangeAspect="1" noChangeArrowheads="1"/>
                                </pic:cNvPicPr>
                              </pic:nvPicPr>
                              <pic:blipFill>
                                <a:blip r:embed="rId4" cstate="print"/>
                                <a:srcRect/>
                                <a:stretch>
                                  <a:fillRect/>
                                </a:stretch>
                              </pic:blipFill>
                              <pic:spPr bwMode="auto">
                                <a:xfrm>
                                  <a:off x="0" y="0"/>
                                  <a:ext cx="4429760" cy="451485"/>
                                </a:xfrm>
                                <a:prstGeom prst="rect">
                                  <a:avLst/>
                                </a:prstGeom>
                                <a:noFill/>
                                <a:ln w="9525">
                                  <a:noFill/>
                                  <a:miter lim="800000"/>
                                  <a:headEnd/>
                                  <a:tailEnd/>
                                </a:ln>
                              </pic:spPr>
                            </pic:pic>
                          </a:graphicData>
                        </a:graphic>
                      </wp:inline>
                    </w:drawing>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b/>
                      <w:bCs/>
                      <w:sz w:val="18"/>
                      <w:szCs w:val="18"/>
                      <w:lang w:eastAsia="tr-TR"/>
                    </w:rPr>
                    <w:t>MADDE 3 –</w:t>
                  </w:r>
                  <w:r w:rsidRPr="001B24E0">
                    <w:rPr>
                      <w:rFonts w:ascii="Times New Roman" w:eastAsia="Times New Roman" w:hAnsi="Times New Roman" w:cs="Times New Roman"/>
                      <w:sz w:val="18"/>
                      <w:szCs w:val="18"/>
                      <w:lang w:eastAsia="tr-TR"/>
                    </w:rPr>
                    <w:t> Aynı Tebliğ eki Yurt Dışı İlaç Fiyat Listesi (EK-4/C)’</w:t>
                  </w:r>
                  <w:proofErr w:type="spellStart"/>
                  <w:r w:rsidRPr="001B24E0">
                    <w:rPr>
                      <w:rFonts w:ascii="Times New Roman" w:eastAsia="Times New Roman" w:hAnsi="Times New Roman" w:cs="Times New Roman"/>
                      <w:sz w:val="18"/>
                      <w:szCs w:val="18"/>
                      <w:lang w:eastAsia="tr-TR"/>
                    </w:rPr>
                    <w:t>nde</w:t>
                  </w:r>
                  <w:proofErr w:type="spellEnd"/>
                  <w:r w:rsidRPr="001B24E0">
                    <w:rPr>
                      <w:rFonts w:ascii="Times New Roman" w:eastAsia="Times New Roman" w:hAnsi="Times New Roman" w:cs="Times New Roman"/>
                      <w:sz w:val="18"/>
                      <w:szCs w:val="18"/>
                      <w:lang w:eastAsia="tr-TR"/>
                    </w:rPr>
                    <w:t xml:space="preserve"> aşağıdaki düzenlemeler yapılmıştır.</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a) Listede yer alan aşağıdaki satırlar yürürlükten kaldırılmıştır.</w:t>
                  </w:r>
                </w:p>
                <w:p w:rsidR="001B24E0" w:rsidRPr="001B24E0" w:rsidRDefault="001B24E0" w:rsidP="001B24E0">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drawing>
                      <wp:inline distT="0" distB="0" distL="0" distR="0">
                        <wp:extent cx="4429760" cy="985520"/>
                        <wp:effectExtent l="19050" t="0" r="8890" b="0"/>
                        <wp:docPr id="2" name="Resim 2" descr="https://www.resmigazete.gov.tr/eskiler/2019/10/20191009-11_dosyalar/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migazete.gov.tr/eskiler/2019/10/20191009-11_dosyalar/image004.gif"/>
                                <pic:cNvPicPr>
                                  <a:picLocks noChangeAspect="1" noChangeArrowheads="1"/>
                                </pic:cNvPicPr>
                              </pic:nvPicPr>
                              <pic:blipFill>
                                <a:blip r:embed="rId5" cstate="print"/>
                                <a:srcRect/>
                                <a:stretch>
                                  <a:fillRect/>
                                </a:stretch>
                              </pic:blipFill>
                              <pic:spPr bwMode="auto">
                                <a:xfrm>
                                  <a:off x="0" y="0"/>
                                  <a:ext cx="4429760" cy="985520"/>
                                </a:xfrm>
                                <a:prstGeom prst="rect">
                                  <a:avLst/>
                                </a:prstGeom>
                                <a:noFill/>
                                <a:ln w="9525">
                                  <a:noFill/>
                                  <a:miter lim="800000"/>
                                  <a:headEnd/>
                                  <a:tailEnd/>
                                </a:ln>
                              </pic:spPr>
                            </pic:pic>
                          </a:graphicData>
                        </a:graphic>
                      </wp:inline>
                    </w:drawing>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b) Listeye aşağıdaki satırlar eklenmiştir.</w:t>
                  </w:r>
                </w:p>
                <w:p w:rsidR="001B24E0" w:rsidRPr="001B24E0" w:rsidRDefault="001B24E0" w:rsidP="001B24E0">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drawing>
                      <wp:inline distT="0" distB="0" distL="0" distR="0">
                        <wp:extent cx="4429760" cy="1092835"/>
                        <wp:effectExtent l="19050" t="0" r="8890" b="0"/>
                        <wp:docPr id="3" name="Resim 3" descr="https://www.resmigazete.gov.tr/eskiler/2019/10/20191009-11_dosyala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smigazete.gov.tr/eskiler/2019/10/20191009-11_dosyalar/image006.gif"/>
                                <pic:cNvPicPr>
                                  <a:picLocks noChangeAspect="1" noChangeArrowheads="1"/>
                                </pic:cNvPicPr>
                              </pic:nvPicPr>
                              <pic:blipFill>
                                <a:blip r:embed="rId6" cstate="print"/>
                                <a:srcRect/>
                                <a:stretch>
                                  <a:fillRect/>
                                </a:stretch>
                              </pic:blipFill>
                              <pic:spPr bwMode="auto">
                                <a:xfrm>
                                  <a:off x="0" y="0"/>
                                  <a:ext cx="4429760" cy="1092835"/>
                                </a:xfrm>
                                <a:prstGeom prst="rect">
                                  <a:avLst/>
                                </a:prstGeom>
                                <a:noFill/>
                                <a:ln w="9525">
                                  <a:noFill/>
                                  <a:miter lim="800000"/>
                                  <a:headEnd/>
                                  <a:tailEnd/>
                                </a:ln>
                              </pic:spPr>
                            </pic:pic>
                          </a:graphicData>
                        </a:graphic>
                      </wp:inline>
                    </w:drawing>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c) Listede yer alan ilaçların fiyatları aşağıdaki şekilde değiştirilmiştir.</w:t>
                  </w:r>
                </w:p>
                <w:p w:rsidR="001B24E0" w:rsidRPr="001B24E0" w:rsidRDefault="001B24E0" w:rsidP="001B24E0">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lastRenderedPageBreak/>
                    <w:drawing>
                      <wp:inline distT="0" distB="0" distL="0" distR="0">
                        <wp:extent cx="4429760" cy="1805305"/>
                        <wp:effectExtent l="19050" t="0" r="8890" b="0"/>
                        <wp:docPr id="4" name="Resim 4" descr="https://www.resmigazete.gov.tr/eskiler/2019/10/20191009-11_dosyalar/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esmigazete.gov.tr/eskiler/2019/10/20191009-11_dosyalar/image008.gif"/>
                                <pic:cNvPicPr>
                                  <a:picLocks noChangeAspect="1" noChangeArrowheads="1"/>
                                </pic:cNvPicPr>
                              </pic:nvPicPr>
                              <pic:blipFill>
                                <a:blip r:embed="rId7" cstate="print"/>
                                <a:srcRect/>
                                <a:stretch>
                                  <a:fillRect/>
                                </a:stretch>
                              </pic:blipFill>
                              <pic:spPr bwMode="auto">
                                <a:xfrm>
                                  <a:off x="0" y="0"/>
                                  <a:ext cx="4429760" cy="1805305"/>
                                </a:xfrm>
                                <a:prstGeom prst="rect">
                                  <a:avLst/>
                                </a:prstGeom>
                                <a:noFill/>
                                <a:ln w="9525">
                                  <a:noFill/>
                                  <a:miter lim="800000"/>
                                  <a:headEnd/>
                                  <a:tailEnd/>
                                </a:ln>
                              </pic:spPr>
                            </pic:pic>
                          </a:graphicData>
                        </a:graphic>
                      </wp:inline>
                    </w:drawing>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b/>
                      <w:bCs/>
                      <w:sz w:val="18"/>
                      <w:szCs w:val="18"/>
                      <w:lang w:eastAsia="tr-TR"/>
                    </w:rPr>
                    <w:t>MADDE 4 –</w:t>
                  </w:r>
                  <w:r w:rsidRPr="001B24E0">
                    <w:rPr>
                      <w:rFonts w:ascii="Times New Roman" w:eastAsia="Times New Roman" w:hAnsi="Times New Roman" w:cs="Times New Roman"/>
                      <w:sz w:val="18"/>
                      <w:szCs w:val="18"/>
                      <w:lang w:eastAsia="tr-TR"/>
                    </w:rPr>
                    <w:t> Bu Tebliğin;</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 xml:space="preserve">a) 1 inci ve 2 </w:t>
                  </w:r>
                  <w:proofErr w:type="spellStart"/>
                  <w:r w:rsidRPr="001B24E0">
                    <w:rPr>
                      <w:rFonts w:ascii="Times New Roman" w:eastAsia="Times New Roman" w:hAnsi="Times New Roman" w:cs="Times New Roman"/>
                      <w:sz w:val="18"/>
                      <w:szCs w:val="18"/>
                      <w:lang w:eastAsia="tr-TR"/>
                    </w:rPr>
                    <w:t>nci</w:t>
                  </w:r>
                  <w:proofErr w:type="spellEnd"/>
                  <w:r w:rsidRPr="001B24E0">
                    <w:rPr>
                      <w:rFonts w:ascii="Times New Roman" w:eastAsia="Times New Roman" w:hAnsi="Times New Roman" w:cs="Times New Roman"/>
                      <w:sz w:val="18"/>
                      <w:szCs w:val="18"/>
                      <w:lang w:eastAsia="tr-TR"/>
                    </w:rPr>
                    <w:t xml:space="preserve"> maddeleri yayımı takip eden ayın ilk günü,</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sz w:val="18"/>
                      <w:szCs w:val="18"/>
                      <w:lang w:eastAsia="tr-TR"/>
                    </w:rPr>
                    <w:t>b) 3 üncü maddesinde fiyat değişiklik tarihi, listeye giriş tarihi, listeden çıkış tarihi bulunan ilaçlar belirtilen tarihlerde,</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proofErr w:type="gramStart"/>
                  <w:r w:rsidRPr="001B24E0">
                    <w:rPr>
                      <w:rFonts w:ascii="Times New Roman" w:eastAsia="Times New Roman" w:hAnsi="Times New Roman" w:cs="Times New Roman"/>
                      <w:sz w:val="18"/>
                      <w:lang w:eastAsia="tr-TR"/>
                    </w:rPr>
                    <w:t>yürürlüğe</w:t>
                  </w:r>
                  <w:proofErr w:type="gramEnd"/>
                  <w:r w:rsidRPr="001B24E0">
                    <w:rPr>
                      <w:rFonts w:ascii="Times New Roman" w:eastAsia="Times New Roman" w:hAnsi="Times New Roman" w:cs="Times New Roman"/>
                      <w:sz w:val="18"/>
                      <w:szCs w:val="18"/>
                      <w:lang w:eastAsia="tr-TR"/>
                    </w:rPr>
                    <w:t> girer.</w:t>
                  </w:r>
                </w:p>
                <w:p w:rsidR="001B24E0" w:rsidRPr="001B24E0" w:rsidRDefault="001B24E0" w:rsidP="001B24E0">
                  <w:pPr>
                    <w:spacing w:after="0" w:line="240" w:lineRule="atLeast"/>
                    <w:ind w:firstLine="566"/>
                    <w:jc w:val="both"/>
                    <w:rPr>
                      <w:rFonts w:ascii="Times New Roman" w:eastAsia="Times New Roman" w:hAnsi="Times New Roman" w:cs="Times New Roman"/>
                      <w:sz w:val="19"/>
                      <w:szCs w:val="19"/>
                      <w:lang w:eastAsia="tr-TR"/>
                    </w:rPr>
                  </w:pPr>
                  <w:r w:rsidRPr="001B24E0">
                    <w:rPr>
                      <w:rFonts w:ascii="Times New Roman" w:eastAsia="Times New Roman" w:hAnsi="Times New Roman" w:cs="Times New Roman"/>
                      <w:b/>
                      <w:bCs/>
                      <w:sz w:val="18"/>
                      <w:szCs w:val="18"/>
                      <w:lang w:eastAsia="tr-TR"/>
                    </w:rPr>
                    <w:t>MADDE 5 –</w:t>
                  </w:r>
                  <w:r w:rsidRPr="001B24E0">
                    <w:rPr>
                      <w:rFonts w:ascii="Times New Roman" w:eastAsia="Times New Roman" w:hAnsi="Times New Roman" w:cs="Times New Roman"/>
                      <w:sz w:val="18"/>
                      <w:szCs w:val="18"/>
                      <w:lang w:eastAsia="tr-TR"/>
                    </w:rPr>
                    <w:t> Bu Tebliğ hükümlerini Sosyal Güvenlik Kurumu Başkanı yürütür.</w:t>
                  </w:r>
                </w:p>
                <w:p w:rsidR="001B24E0" w:rsidRPr="001B24E0" w:rsidRDefault="001B24E0" w:rsidP="001B24E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1B24E0">
                    <w:rPr>
                      <w:rFonts w:ascii="Arial" w:eastAsia="Times New Roman" w:hAnsi="Arial" w:cs="Arial"/>
                      <w:b/>
                      <w:bCs/>
                      <w:color w:val="000080"/>
                      <w:sz w:val="24"/>
                      <w:szCs w:val="24"/>
                      <w:lang w:eastAsia="tr-TR"/>
                    </w:rPr>
                    <w:t> </w:t>
                  </w:r>
                </w:p>
              </w:tc>
            </w:tr>
          </w:tbl>
          <w:p w:rsidR="001B24E0" w:rsidRPr="001B24E0" w:rsidRDefault="001B24E0" w:rsidP="001B24E0">
            <w:pPr>
              <w:spacing w:after="0" w:line="240" w:lineRule="auto"/>
              <w:rPr>
                <w:rFonts w:ascii="Times New Roman" w:eastAsia="Times New Roman" w:hAnsi="Times New Roman" w:cs="Times New Roman"/>
                <w:sz w:val="24"/>
                <w:szCs w:val="24"/>
                <w:lang w:eastAsia="tr-TR"/>
              </w:rPr>
            </w:pPr>
          </w:p>
        </w:tc>
      </w:tr>
    </w:tbl>
    <w:p w:rsidR="001B24E0" w:rsidRPr="001B24E0" w:rsidRDefault="001B24E0" w:rsidP="001B24E0">
      <w:pPr>
        <w:spacing w:after="0" w:line="240" w:lineRule="auto"/>
        <w:jc w:val="center"/>
        <w:rPr>
          <w:rFonts w:ascii="Times New Roman" w:eastAsia="Times New Roman" w:hAnsi="Times New Roman" w:cs="Times New Roman"/>
          <w:color w:val="000000"/>
          <w:sz w:val="27"/>
          <w:szCs w:val="27"/>
          <w:lang w:eastAsia="tr-TR"/>
        </w:rPr>
      </w:pPr>
      <w:r w:rsidRPr="001B24E0">
        <w:rPr>
          <w:rFonts w:ascii="Times New Roman" w:eastAsia="Times New Roman" w:hAnsi="Times New Roman" w:cs="Times New Roman"/>
          <w:color w:val="000000"/>
          <w:sz w:val="27"/>
          <w:szCs w:val="27"/>
          <w:lang w:eastAsia="tr-TR"/>
        </w:rPr>
        <w:lastRenderedPageBreak/>
        <w:t> </w:t>
      </w:r>
    </w:p>
    <w:p w:rsidR="00281112" w:rsidRDefault="00281112"/>
    <w:sectPr w:rsidR="00281112" w:rsidSect="0028111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1B24E0"/>
    <w:rsid w:val="001B24E0"/>
    <w:rsid w:val="00281112"/>
    <w:rsid w:val="00317DD2"/>
    <w:rsid w:val="00777357"/>
    <w:rsid w:val="007C5D37"/>
    <w:rsid w:val="008154AD"/>
    <w:rsid w:val="00906A8C"/>
    <w:rsid w:val="00D363C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4A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TL">
    <w:name w:val="BTL"/>
    <w:basedOn w:val="Normal"/>
    <w:link w:val="BTLChar"/>
    <w:qFormat/>
    <w:rsid w:val="008154AD"/>
    <w:pPr>
      <w:spacing w:after="0"/>
    </w:pPr>
    <w:rPr>
      <w:rFonts w:asciiTheme="majorHAnsi" w:hAnsiTheme="majorHAnsi"/>
      <w:sz w:val="24"/>
      <w:szCs w:val="24"/>
    </w:rPr>
  </w:style>
  <w:style w:type="character" w:customStyle="1" w:styleId="BTLChar">
    <w:name w:val="BTL Char"/>
    <w:basedOn w:val="VarsaylanParagrafYazTipi"/>
    <w:link w:val="BTL"/>
    <w:rsid w:val="008154AD"/>
    <w:rPr>
      <w:rFonts w:asciiTheme="majorHAnsi" w:hAnsiTheme="majorHAnsi"/>
      <w:sz w:val="24"/>
      <w:szCs w:val="24"/>
    </w:rPr>
  </w:style>
  <w:style w:type="paragraph" w:styleId="NormalWeb">
    <w:name w:val="Normal (Web)"/>
    <w:basedOn w:val="Normal"/>
    <w:uiPriority w:val="99"/>
    <w:unhideWhenUsed/>
    <w:rsid w:val="001B24E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1B24E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1B24E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1B24E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1B24E0"/>
  </w:style>
  <w:style w:type="paragraph" w:styleId="BalonMetni">
    <w:name w:val="Balloon Text"/>
    <w:basedOn w:val="Normal"/>
    <w:link w:val="BalonMetniChar"/>
    <w:uiPriority w:val="99"/>
    <w:semiHidden/>
    <w:unhideWhenUsed/>
    <w:rsid w:val="001B24E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B24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620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3084</Characters>
  <Application>Microsoft Office Word</Application>
  <DocSecurity>0</DocSecurity>
  <Lines>25</Lines>
  <Paragraphs>7</Paragraphs>
  <ScaleCrop>false</ScaleCrop>
  <Company/>
  <LinksUpToDate>false</LinksUpToDate>
  <CharactersWithSpaces>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bcan</dc:creator>
  <cp:keywords/>
  <dc:description/>
  <cp:lastModifiedBy>bcan</cp:lastModifiedBy>
  <cp:revision>2</cp:revision>
  <dcterms:created xsi:type="dcterms:W3CDTF">2019-10-09T05:56:00Z</dcterms:created>
  <dcterms:modified xsi:type="dcterms:W3CDTF">2019-10-09T05:56:00Z</dcterms:modified>
</cp:coreProperties>
</file>